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6C" w:rsidRPr="00D26236" w:rsidRDefault="00D26236" w:rsidP="00D2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OKULUMUZDA OHSAS 18001</w:t>
      </w:r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İŞ SAĞLIĞI ve </w:t>
      </w:r>
      <w:proofErr w:type="gram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GÜVENLİĞİ </w:t>
      </w:r>
      <w:r w:rsidR="00E3456C"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KALİTE</w:t>
      </w:r>
      <w:proofErr w:type="gramEnd"/>
      <w:r w:rsidR="00E3456C"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YÖNETİM SİSTEMİ</w:t>
      </w:r>
      <w:r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UYGULANMAYA BAŞLAMIŞTIR.</w:t>
      </w:r>
    </w:p>
    <w:p w:rsidR="00E0474A" w:rsidRPr="00D26236" w:rsidRDefault="00E3456C" w:rsidP="00E3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OHSAS 18001 </w:t>
      </w:r>
      <w:proofErr w:type="spell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Occupational</w:t>
      </w:r>
      <w:proofErr w:type="spellEnd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Health</w:t>
      </w:r>
      <w:proofErr w:type="spellEnd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and</w:t>
      </w:r>
      <w:proofErr w:type="spellEnd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Safety</w:t>
      </w:r>
      <w:proofErr w:type="spellEnd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="00E0474A" w:rsidRPr="00E0474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Standard</w:t>
      </w:r>
      <w:proofErr w:type="spellEnd"/>
      <w:r w:rsidRPr="00D262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6A7535" w:rsidRPr="00E0474A" w:rsidRDefault="006A7535" w:rsidP="00E3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</w:p>
    <w:p w:rsidR="00D26236" w:rsidRDefault="00E3456C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D2623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OHSAS 18001 NEDİR?</w:t>
      </w:r>
    </w:p>
    <w:p w:rsidR="00E0474A" w:rsidRPr="00E0474A" w:rsidRDefault="00E0474A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  <w:t>OHSAS 18001, BSI (</w:t>
      </w:r>
      <w:r w:rsidR="00E3456C"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British </w:t>
      </w:r>
      <w:proofErr w:type="spellStart"/>
      <w:r w:rsidR="00E3456C"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Standarts</w:t>
      </w:r>
      <w:proofErr w:type="spellEnd"/>
      <w:r w:rsidR="00E3456C"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</w:t>
      </w:r>
      <w:proofErr w:type="spellStart"/>
      <w:r w:rsidR="00E3456C"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Institute</w:t>
      </w:r>
      <w:proofErr w:type="spell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) tarafından yayınlanmış olan "İş Sağlığı ve Güvenliği" standardıdır.</w:t>
      </w:r>
    </w:p>
    <w:p w:rsidR="00E0474A" w:rsidRPr="00E0474A" w:rsidRDefault="00E0474A" w:rsidP="006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hyperlink r:id="rId7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OHSAS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18001; ISO 9000 ve ISO 14000 gibi diğer uluslararası standartlardan farklı olarak bazı ulusal standart kuruluşları ve belgelendirme kuruluşlarının birlikte çalışmasıyla gerçekleştirilmiştir ve bir ISO standardı değildir.</w:t>
      </w:r>
    </w:p>
    <w:p w:rsidR="00E0474A" w:rsidRPr="00E0474A" w:rsidRDefault="00E0474A" w:rsidP="006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OHSAS </w:t>
      </w:r>
      <w:hyperlink r:id="rId8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18001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iş sağlığı ve güvenliği yönetim sistemi konusundaki gereklilikleri belirleyen uluslararası bir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standarttır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. OHSAS 18001, kuruluşların </w:t>
      </w:r>
      <w:hyperlink r:id="rId9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kalite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, çevre ve iş sağlığı ve güvenliği yönetim sistemlerini </w:t>
      </w:r>
      <w:proofErr w:type="gramStart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entegre</w:t>
      </w:r>
      <w:proofErr w:type="gram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edebilmelerini sağlamak amacıyla </w:t>
      </w:r>
      <w:hyperlink r:id="rId10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ISO 9001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(QMS) ve </w:t>
      </w:r>
      <w:hyperlink r:id="rId11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ISO 14001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(EMS)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standartlarıyla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uyumlu olacak şekilde geliştirilmiştir. Ulusal sağlık ve güvenlik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standartlarına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uyum tüm kuruluşlar için zorunludur.</w:t>
      </w:r>
    </w:p>
    <w:p w:rsidR="00E0474A" w:rsidRPr="00E0474A" w:rsidRDefault="00E0474A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OHSAS 18001 bir yandan kuruluşların yasal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standartlarla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olan uyumunu gösterirken öte yandan iş ortamının sürekli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iyileştirilmesi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say</w:t>
      </w:r>
      <w:r w:rsidR="00E3456C"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esinde iş yerindeki üretkenliği 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ve verimi arttırır.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  <w:t>OHSAS 18001 kuruluşların ürün ve hizmetlerinin güvenliğinden çok çalışanın sağlığına ve işin güvenliğine yönelik bir standarttır.</w:t>
      </w:r>
    </w:p>
    <w:p w:rsidR="00E0474A" w:rsidRPr="00E0474A" w:rsidRDefault="00E0474A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hyperlink r:id="rId12" w:history="1">
        <w:r w:rsidRPr="00E0474A">
          <w:rPr>
            <w:rFonts w:ascii="Times New Roman" w:eastAsia="Times New Roman" w:hAnsi="Times New Roman" w:cs="Times New Roman"/>
            <w:b/>
            <w:bCs/>
            <w:sz w:val="19"/>
            <w:szCs w:val="19"/>
            <w:lang w:eastAsia="tr-TR"/>
          </w:rPr>
          <w:t>OHSAS 18001 standardı</w:t>
        </w:r>
      </w:hyperlink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 şu bölümlerden oluşmaktadır:</w:t>
      </w:r>
    </w:p>
    <w:tbl>
      <w:tblPr>
        <w:tblW w:w="1093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4"/>
        <w:gridCol w:w="4951"/>
      </w:tblGrid>
      <w:tr w:rsidR="00D26236" w:rsidRPr="00E0474A" w:rsidTr="00E3456C">
        <w:trPr>
          <w:trHeight w:val="1560"/>
          <w:tblCellSpacing w:w="0" w:type="dxa"/>
        </w:trPr>
        <w:tc>
          <w:tcPr>
            <w:tcW w:w="5984" w:type="dxa"/>
            <w:shd w:val="clear" w:color="auto" w:fill="FFFFFF"/>
            <w:vAlign w:val="center"/>
            <w:hideMark/>
          </w:tcPr>
          <w:p w:rsidR="00E0474A" w:rsidRPr="00E0474A" w:rsidRDefault="00E0474A" w:rsidP="006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1.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Kapsam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2.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Atıf Yapılan Standartlar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3.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Terimler ve Tarifler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ISG Yönetim Sistemi Unsurları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proofErr w:type="gramStart"/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4.1</w:t>
            </w:r>
            <w:proofErr w:type="gramEnd"/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Genel Şartlar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4.2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ISG Politikası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4.3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Planlama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4.4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Uygulama ve Çalıştırma 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4.5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Kontrol ve Düzeltici Faaliyet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4.6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Yönetimin Gözden Geçirmesi</w:t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r w:rsidRPr="00E0474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br/>
            </w:r>
            <w:hyperlink r:id="rId13" w:history="1">
              <w:r w:rsidRPr="00E0474A">
                <w:rPr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  <w:lang w:eastAsia="tr-TR"/>
                </w:rPr>
                <w:t>OHSAS 18001 STANDARDI</w:t>
              </w:r>
            </w:hyperlink>
          </w:p>
        </w:tc>
        <w:tc>
          <w:tcPr>
            <w:tcW w:w="4951" w:type="dxa"/>
            <w:shd w:val="clear" w:color="auto" w:fill="FFFFFF"/>
            <w:vAlign w:val="center"/>
            <w:hideMark/>
          </w:tcPr>
          <w:p w:rsidR="00E0474A" w:rsidRPr="00E0474A" w:rsidRDefault="00E3456C" w:rsidP="006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6236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tr-TR"/>
              </w:rPr>
              <w:drawing>
                <wp:inline distT="0" distB="0" distL="0" distR="0" wp14:anchorId="2499774C" wp14:editId="2E826A37">
                  <wp:extent cx="1456324" cy="1466850"/>
                  <wp:effectExtent l="0" t="0" r="0" b="0"/>
                  <wp:docPr id="2" name="Resim 2" descr="C:\Users\Win10\Desktop\OHSAS-18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10\Desktop\OHSAS-18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55" cy="147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4A" w:rsidRPr="00E0474A" w:rsidRDefault="00E0474A" w:rsidP="006A75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hyperlink r:id="rId15" w:history="1">
        <w:r w:rsidRPr="00E0474A">
          <w:rPr>
            <w:rFonts w:ascii="Times New Roman" w:eastAsia="Times New Roman" w:hAnsi="Times New Roman" w:cs="Times New Roman"/>
            <w:sz w:val="19"/>
            <w:szCs w:val="19"/>
            <w:shd w:val="clear" w:color="auto" w:fill="FFFFFF"/>
            <w:lang w:eastAsia="tr-TR"/>
          </w:rPr>
          <w:br/>
          <w:t>OHSAS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 </w:t>
      </w:r>
      <w:hyperlink r:id="rId16" w:history="1">
        <w:r w:rsidRPr="00E0474A">
          <w:rPr>
            <w:rFonts w:ascii="Times New Roman" w:eastAsia="Times New Roman" w:hAnsi="Times New Roman" w:cs="Times New Roman"/>
            <w:sz w:val="19"/>
            <w:szCs w:val="19"/>
            <w:shd w:val="clear" w:color="auto" w:fill="FFFFFF"/>
            <w:lang w:eastAsia="tr-TR"/>
          </w:rPr>
          <w:t>18001</w:t>
        </w:r>
      </w:hyperlink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shd w:val="clear" w:color="auto" w:fill="FFFFFF"/>
          <w:lang w:eastAsia="tr-TR"/>
        </w:rPr>
        <w:t>: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 </w:t>
      </w:r>
      <w:hyperlink r:id="rId17" w:history="1">
        <w:r w:rsidRPr="00E0474A">
          <w:rPr>
            <w:rFonts w:ascii="Times New Roman" w:eastAsia="Times New Roman" w:hAnsi="Times New Roman" w:cs="Times New Roman"/>
            <w:sz w:val="19"/>
            <w:szCs w:val="19"/>
            <w:shd w:val="clear" w:color="auto" w:fill="FFFFFF"/>
            <w:lang w:eastAsia="tr-TR"/>
          </w:rPr>
          <w:t>İş Sağlığı ve Güvenliği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 Değerlendirme Serisi-İş Sağlığı ve Güvenliği Yönetim Sistemi Spesifikasyonu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br/>
        <w:t>OHSAS 18002</w:t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shd w:val="clear" w:color="auto" w:fill="FFFFFF"/>
          <w:lang w:eastAsia="tr-TR"/>
        </w:rPr>
        <w:t>: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 xml:space="preserve"> Is </w:t>
      </w:r>
      <w:r w:rsidRPr="00D26236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Sağlığı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 xml:space="preserve"> ve </w:t>
      </w:r>
      <w:r w:rsidRPr="00D26236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Güvenliği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 xml:space="preserve"> </w:t>
      </w:r>
      <w:r w:rsidRPr="00D26236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Yönetimi</w:t>
      </w:r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 xml:space="preserve"> Sistemleri-OHSAS </w:t>
      </w:r>
      <w:hyperlink r:id="rId18" w:history="1">
        <w:r w:rsidRPr="00E0474A">
          <w:rPr>
            <w:rFonts w:ascii="Times New Roman" w:eastAsia="Times New Roman" w:hAnsi="Times New Roman" w:cs="Times New Roman"/>
            <w:sz w:val="19"/>
            <w:szCs w:val="19"/>
            <w:shd w:val="clear" w:color="auto" w:fill="FFFFFF"/>
            <w:lang w:eastAsia="tr-TR"/>
          </w:rPr>
          <w:t>18001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tr-TR"/>
        </w:rPr>
        <w:t> Uygulama Rehberi</w:t>
      </w:r>
    </w:p>
    <w:p w:rsidR="00E0474A" w:rsidRPr="00E0474A" w:rsidRDefault="00E0474A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NEDEN </w:t>
      </w:r>
      <w:hyperlink r:id="rId19" w:history="1">
        <w:r w:rsidRPr="00E0474A">
          <w:rPr>
            <w:rFonts w:ascii="Times New Roman" w:eastAsia="Times New Roman" w:hAnsi="Times New Roman" w:cs="Times New Roman"/>
            <w:b/>
            <w:bCs/>
            <w:sz w:val="19"/>
            <w:szCs w:val="19"/>
            <w:lang w:eastAsia="tr-TR"/>
          </w:rPr>
          <w:t>OHSAS 18001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Ana üreticilerin, ihalelerde ve tedarikçi değerlendirmelerinde rakiplerine göre avantaj sağlaması öne geçmesi,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2.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Kârlılığı arttırmak,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3.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ISG çalışmalarını diğer faaliyetlere </w:t>
      </w:r>
      <w:proofErr w:type="gramStart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entegre</w:t>
      </w:r>
      <w:proofErr w:type="gram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ederek kaynakların korunmasını sağlamak,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4.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Yönetimin taahhüdünün sağlandığını göstermek,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5.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Motivasyon ve katılımı arttırmak,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6.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Ulusal yasa ve dünya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Standartlarına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uyum süresini ve maliyetini azaltmak,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7.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Paydaşların istek ve beklentilerini karşılayarak rekabeti arttırmak,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8.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 Kuruluşlar tarafı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ndan sürdürülmekte olan ISG faaliyetlerinin sistematik olarak yayılımını sağlamak için bu sistem uygulanmalıdır.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OHSAS 18001 ILE ILGILI BAZI TANIMLAR:</w:t>
      </w:r>
    </w:p>
    <w:p w:rsidR="00E0474A" w:rsidRPr="00E0474A" w:rsidRDefault="00E0474A" w:rsidP="006A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Kaza: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Ölüme, hastalığa, yaralanmaya, hasara veya diğer kayıplara sebebiyet veren istenmeyen olay.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Zarar: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İnsanların yaralanması, hastalanması, malın, çalışılan yerin zarar görmesi veya bunların birlikte gerçekleşmesine neden olabilecek potansiyel kaynak ve durum.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hyperlink r:id="rId20" w:history="1">
        <w:r w:rsidRPr="00E0474A">
          <w:rPr>
            <w:rFonts w:ascii="Times New Roman" w:eastAsia="Times New Roman" w:hAnsi="Times New Roman" w:cs="Times New Roman"/>
            <w:b/>
            <w:bCs/>
            <w:sz w:val="19"/>
            <w:szCs w:val="19"/>
            <w:lang w:eastAsia="tr-TR"/>
          </w:rPr>
          <w:t>İş Sağlığı ve Güvenliği</w:t>
        </w:r>
      </w:hyperlink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: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Çalışanların, geçici işçilerin, </w:t>
      </w:r>
      <w:proofErr w:type="gramStart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müteahhit</w:t>
      </w:r>
      <w:proofErr w:type="gram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personelin, ziyaretçilerin ve </w:t>
      </w:r>
      <w:r w:rsidRPr="00D26236">
        <w:rPr>
          <w:rFonts w:ascii="Times New Roman" w:eastAsia="Times New Roman" w:hAnsi="Times New Roman" w:cs="Times New Roman"/>
          <w:sz w:val="19"/>
          <w:szCs w:val="19"/>
          <w:lang w:eastAsia="tr-TR"/>
        </w:rPr>
        <w:t>çalışma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 alanında ki diğer insanların refahını etkileyen faktörler ve şartlar.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İş Sağlığı ve Güvenliği Yönetim Sistemi: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Kuruluşun faaliyetleri ile ilgili ISG riskleri yönetimini kolaylaştıran, tüm yönetim sisteminin bir parçasıdır. Bu kuruluş yapısını, faaliyet planlarını, sorumlulukları, deneyimleri, </w:t>
      </w:r>
      <w:proofErr w:type="gramStart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prosesleri</w:t>
      </w:r>
      <w:proofErr w:type="gram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, prosedürleri ve kuruluşun ISG politikasının geliştirilmesi, uygulanması, iyileştirilmesi, başarılması, gözden geçirilmesi ve sürdürülmesi için kaynakları kapsar.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Risk Değerlendirmesi: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 xml:space="preserve"> Tüm </w:t>
      </w:r>
      <w:proofErr w:type="gramStart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proseslerde</w:t>
      </w:r>
      <w:proofErr w:type="gramEnd"/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, riskin büyüklüğünü tahmin etmek ve riske tahammül edilip edilemeyeceğine karar vermek. </w:t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  <w:t>OHSAS </w:t>
      </w:r>
      <w:hyperlink r:id="rId21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18001:2007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standardı  1 Temmuz 2007’de yayımlandı.</w:t>
      </w:r>
    </w:p>
    <w:p w:rsidR="004408BE" w:rsidRPr="00D26236" w:rsidRDefault="00E0474A" w:rsidP="00D26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OHSAS 18001:2007; </w:t>
      </w:r>
      <w:hyperlink r:id="rId22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ISO 14001:2004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ve </w:t>
      </w:r>
      <w:hyperlink r:id="rId23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ISO 9001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:2000 ile daha uyumlu hale gelmiş, </w:t>
      </w:r>
      <w:hyperlink r:id="rId24" w:history="1">
        <w:r w:rsidRPr="00E0474A">
          <w:rPr>
            <w:rFonts w:ascii="Times New Roman" w:eastAsia="Times New Roman" w:hAnsi="Times New Roman" w:cs="Times New Roman"/>
            <w:sz w:val="19"/>
            <w:szCs w:val="19"/>
            <w:lang w:eastAsia="tr-TR"/>
          </w:rPr>
          <w:t>iş sağlığı ve güvenliği</w:t>
        </w:r>
      </w:hyperlink>
      <w:r w:rsidRPr="00E0474A">
        <w:rPr>
          <w:rFonts w:ascii="Times New Roman" w:eastAsia="Times New Roman" w:hAnsi="Times New Roman" w:cs="Times New Roman"/>
          <w:sz w:val="19"/>
          <w:szCs w:val="19"/>
          <w:lang w:eastAsia="tr-TR"/>
        </w:rPr>
        <w:t> ile ilgili etkinliği kanıtlanmış kavramları kapsaması sağlanmıştır.</w:t>
      </w:r>
      <w:bookmarkStart w:id="0" w:name="_GoBack"/>
      <w:bookmarkEnd w:id="0"/>
    </w:p>
    <w:sectPr w:rsidR="004408BE" w:rsidRPr="00D26236" w:rsidSect="006A7535">
      <w:headerReference w:type="default" r:id="rId25"/>
      <w:footerReference w:type="default" r:id="rId26"/>
      <w:pgSz w:w="11906" w:h="16838"/>
      <w:pgMar w:top="1418" w:right="1304" w:bottom="1418" w:left="130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31" w:rsidRDefault="001F3431" w:rsidP="006A7535">
      <w:pPr>
        <w:spacing w:after="0" w:line="240" w:lineRule="auto"/>
      </w:pPr>
      <w:r>
        <w:separator/>
      </w:r>
    </w:p>
  </w:endnote>
  <w:endnote w:type="continuationSeparator" w:id="0">
    <w:p w:rsidR="001F3431" w:rsidRDefault="001F3431" w:rsidP="006A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5" w:type="dxa"/>
      <w:tblInd w:w="-5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1"/>
      <w:gridCol w:w="3452"/>
      <w:gridCol w:w="3452"/>
    </w:tblGrid>
    <w:tr w:rsidR="006A7535" w:rsidRPr="006A7535" w:rsidTr="00DC4E49">
      <w:trPr>
        <w:trHeight w:val="88"/>
      </w:trPr>
      <w:tc>
        <w:tcPr>
          <w:tcW w:w="345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HAZIRLAYAN </w:t>
          </w:r>
        </w:p>
      </w:tc>
      <w:tc>
        <w:tcPr>
          <w:tcW w:w="3452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DANIŞMAN</w:t>
          </w:r>
        </w:p>
      </w:tc>
      <w:tc>
        <w:tcPr>
          <w:tcW w:w="3452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İŞVEREN</w:t>
          </w:r>
        </w:p>
      </w:tc>
    </w:tr>
    <w:tr w:rsidR="006A7535" w:rsidRPr="006A7535" w:rsidTr="00DC4E49">
      <w:trPr>
        <w:trHeight w:val="745"/>
      </w:trPr>
      <w:tc>
        <w:tcPr>
          <w:tcW w:w="3451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>Hakan ER</w:t>
          </w:r>
        </w:p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>Yönetim Sistemi Ekibi</w:t>
          </w:r>
        </w:p>
      </w:tc>
      <w:tc>
        <w:tcPr>
          <w:tcW w:w="3452" w:type="dxa"/>
          <w:tcBorders>
            <w:top w:val="single" w:sz="4" w:space="0" w:color="auto"/>
            <w:left w:val="nil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>ALİ OSMAN AHLATCIK</w:t>
          </w:r>
        </w:p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>OHSAS 18001 Danışmanı</w:t>
          </w:r>
        </w:p>
      </w:tc>
      <w:tc>
        <w:tcPr>
          <w:tcW w:w="345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000000"/>
          </w:tcBorders>
          <w:vAlign w:val="center"/>
          <w:hideMark/>
        </w:tcPr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>İSMAİL MADAN</w:t>
          </w:r>
        </w:p>
        <w:p w:rsidR="006A7535" w:rsidRPr="006A7535" w:rsidRDefault="006A7535" w:rsidP="006A753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A7535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  <w:t xml:space="preserve">İşveren </w:t>
          </w:r>
        </w:p>
      </w:tc>
    </w:tr>
  </w:tbl>
  <w:p w:rsidR="006A7535" w:rsidRDefault="006A75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31" w:rsidRDefault="001F3431" w:rsidP="006A7535">
      <w:pPr>
        <w:spacing w:after="0" w:line="240" w:lineRule="auto"/>
      </w:pPr>
      <w:r>
        <w:separator/>
      </w:r>
    </w:p>
  </w:footnote>
  <w:footnote w:type="continuationSeparator" w:id="0">
    <w:p w:rsidR="001F3431" w:rsidRDefault="001F3431" w:rsidP="006A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962"/>
      <w:gridCol w:w="1502"/>
      <w:gridCol w:w="1333"/>
    </w:tblGrid>
    <w:tr w:rsidR="006A7535" w:rsidRPr="006A7535" w:rsidTr="00DC4E49">
      <w:trPr>
        <w:trHeight w:val="126"/>
      </w:trPr>
      <w:tc>
        <w:tcPr>
          <w:tcW w:w="1985" w:type="dxa"/>
          <w:vMerge w:val="restart"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</w:tabs>
            <w:spacing w:after="0" w:line="240" w:lineRule="auto"/>
            <w:rPr>
              <w:rFonts w:ascii="Cambria" w:eastAsia="Calibri" w:hAnsi="Cambria" w:cs="Times New Roman"/>
              <w:sz w:val="28"/>
              <w:szCs w:val="28"/>
            </w:rPr>
          </w:pPr>
          <w:r w:rsidRPr="006A7535">
            <w:rPr>
              <w:rFonts w:ascii="Cambria" w:eastAsia="Calibri" w:hAnsi="Cambria" w:cs="Times New Roman"/>
              <w:sz w:val="28"/>
              <w:szCs w:val="28"/>
            </w:rPr>
            <w:t xml:space="preserve">      </w:t>
          </w:r>
          <w:r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28E394F2" wp14:editId="3DD5D4CA">
                <wp:extent cx="638175" cy="914400"/>
                <wp:effectExtent l="0" t="0" r="9525" b="0"/>
                <wp:docPr id="3" name="Resim 3" descr="mehmetc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hmetc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A7535">
            <w:rPr>
              <w:rFonts w:ascii="Times New Roman" w:eastAsia="Calibri" w:hAnsi="Times New Roman" w:cs="Times New Roman"/>
              <w:b/>
              <w:sz w:val="24"/>
              <w:szCs w:val="24"/>
            </w:rPr>
            <w:t>ÇORUM MEHMETÇİK ANADOLU LİSESİ</w:t>
          </w:r>
        </w:p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  <w:r w:rsidRPr="006A75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tr-TR"/>
            </w:rPr>
            <w:t>KAPSAM</w:t>
          </w: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 xml:space="preserve">Doküman No      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40.2</w:t>
          </w: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0.D.01</w:t>
          </w:r>
        </w:p>
      </w:tc>
    </w:tr>
    <w:tr w:rsidR="006A7535" w:rsidRPr="006A7535" w:rsidTr="00DC4E49">
      <w:trPr>
        <w:trHeight w:val="131"/>
      </w:trPr>
      <w:tc>
        <w:tcPr>
          <w:tcW w:w="1985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4962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 xml:space="preserve">Sayfa No              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 xml:space="preserve">Sayfa </w: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begin"/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instrText>PAGE  \* Arabic  \* MERGEFORMAT</w:instrTex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separate"/>
          </w:r>
          <w:r w:rsidR="00D26236">
            <w:rPr>
              <w:rFonts w:ascii="Times New Roman" w:eastAsia="Calibri" w:hAnsi="Times New Roman" w:cs="Times New Roman"/>
              <w:b/>
              <w:noProof/>
              <w:sz w:val="18"/>
              <w:szCs w:val="18"/>
            </w:rPr>
            <w:t>1</w: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end"/>
          </w: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begin"/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separate"/>
          </w:r>
          <w:r w:rsidR="00D26236">
            <w:rPr>
              <w:rFonts w:ascii="Times New Roman" w:eastAsia="Calibri" w:hAnsi="Times New Roman" w:cs="Times New Roman"/>
              <w:b/>
              <w:noProof/>
              <w:sz w:val="18"/>
              <w:szCs w:val="18"/>
            </w:rPr>
            <w:t>1</w:t>
          </w:r>
          <w:r w:rsidRPr="006A7535">
            <w:rPr>
              <w:rFonts w:ascii="Times New Roman" w:eastAsia="Calibri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6A7535" w:rsidRPr="006A7535" w:rsidTr="00DC4E49">
      <w:trPr>
        <w:trHeight w:val="148"/>
      </w:trPr>
      <w:tc>
        <w:tcPr>
          <w:tcW w:w="1985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4962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 xml:space="preserve">Revizyon No    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00</w:t>
          </w:r>
        </w:p>
      </w:tc>
    </w:tr>
    <w:tr w:rsidR="006A7535" w:rsidRPr="006A7535" w:rsidTr="00DC4E49">
      <w:trPr>
        <w:trHeight w:val="70"/>
      </w:trPr>
      <w:tc>
        <w:tcPr>
          <w:tcW w:w="1985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4962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  <w:tr w:rsidR="006A7535" w:rsidRPr="006A7535" w:rsidTr="00DC4E49">
      <w:trPr>
        <w:trHeight w:val="96"/>
      </w:trPr>
      <w:tc>
        <w:tcPr>
          <w:tcW w:w="1985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4962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Yayın Tarihi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proofErr w:type="gramStart"/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21/05/2018</w:t>
          </w:r>
          <w:proofErr w:type="gramEnd"/>
        </w:p>
      </w:tc>
    </w:tr>
    <w:tr w:rsidR="006A7535" w:rsidRPr="006A7535" w:rsidTr="00DC4E49">
      <w:trPr>
        <w:trHeight w:val="155"/>
      </w:trPr>
      <w:tc>
        <w:tcPr>
          <w:tcW w:w="1985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4962" w:type="dxa"/>
          <w:vMerge/>
          <w:shd w:val="clear" w:color="auto" w:fill="auto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8"/>
              <w:szCs w:val="28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Kurum Kodu</w:t>
          </w:r>
        </w:p>
      </w:tc>
      <w:tc>
        <w:tcPr>
          <w:tcW w:w="1333" w:type="dxa"/>
          <w:shd w:val="clear" w:color="auto" w:fill="auto"/>
          <w:vAlign w:val="center"/>
        </w:tcPr>
        <w:p w:rsidR="006A7535" w:rsidRPr="006A7535" w:rsidRDefault="006A7535" w:rsidP="006A7535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A7535">
            <w:rPr>
              <w:rFonts w:ascii="Times New Roman" w:eastAsia="Calibri" w:hAnsi="Times New Roman" w:cs="Times New Roman"/>
              <w:sz w:val="18"/>
              <w:szCs w:val="18"/>
            </w:rPr>
            <w:t>972816</w:t>
          </w:r>
        </w:p>
      </w:tc>
    </w:tr>
  </w:tbl>
  <w:p w:rsidR="006A7535" w:rsidRDefault="006A75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A"/>
    <w:rsid w:val="001F3431"/>
    <w:rsid w:val="004408BE"/>
    <w:rsid w:val="006A7535"/>
    <w:rsid w:val="00D26236"/>
    <w:rsid w:val="00E0474A"/>
    <w:rsid w:val="00E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7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535"/>
  </w:style>
  <w:style w:type="paragraph" w:styleId="Altbilgi">
    <w:name w:val="footer"/>
    <w:basedOn w:val="Normal"/>
    <w:link w:val="AltbilgiChar"/>
    <w:uiPriority w:val="99"/>
    <w:unhideWhenUsed/>
    <w:rsid w:val="006A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7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535"/>
  </w:style>
  <w:style w:type="paragraph" w:styleId="Altbilgi">
    <w:name w:val="footer"/>
    <w:basedOn w:val="Normal"/>
    <w:link w:val="AltbilgiChar"/>
    <w:uiPriority w:val="99"/>
    <w:unhideWhenUsed/>
    <w:rsid w:val="006A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cert.com/goster.aspx?metin_id=268" TargetMode="External"/><Relationship Id="rId13" Type="http://schemas.openxmlformats.org/officeDocument/2006/relationships/hyperlink" Target="http://www.kascert.com/goster.aspx?metin_id=836" TargetMode="External"/><Relationship Id="rId18" Type="http://schemas.openxmlformats.org/officeDocument/2006/relationships/hyperlink" Target="http://www.kascert.com/goster.aspx?metin_id=26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ascert.com/goster.aspx?metin_id=268" TargetMode="External"/><Relationship Id="rId7" Type="http://schemas.openxmlformats.org/officeDocument/2006/relationships/hyperlink" Target="http://www.kascert.com/goster.aspx?metin_id=268" TargetMode="External"/><Relationship Id="rId12" Type="http://schemas.openxmlformats.org/officeDocument/2006/relationships/hyperlink" Target="http://www.kascert.com/goster.aspx?metin_id=836" TargetMode="External"/><Relationship Id="rId17" Type="http://schemas.openxmlformats.org/officeDocument/2006/relationships/hyperlink" Target="http://www.kascert.com/goster.aspx?metin_id=268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kascert.com/goster.aspx?metin_id=268" TargetMode="External"/><Relationship Id="rId20" Type="http://schemas.openxmlformats.org/officeDocument/2006/relationships/hyperlink" Target="http://www.kascert.com/goster.aspx?metin_id=2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scert.com/goster.aspx?metin_id=1012" TargetMode="External"/><Relationship Id="rId24" Type="http://schemas.openxmlformats.org/officeDocument/2006/relationships/hyperlink" Target="http://www.kascert.com/goster.aspx?metin_id=2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scert.com/goster.aspx?metin_id=268" TargetMode="External"/><Relationship Id="rId23" Type="http://schemas.openxmlformats.org/officeDocument/2006/relationships/hyperlink" Target="http://www.kascert.com/goster.aspx?metin_id=2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scert.com/goster.aspx?metin_id=265" TargetMode="External"/><Relationship Id="rId19" Type="http://schemas.openxmlformats.org/officeDocument/2006/relationships/hyperlink" Target="http://www.kascert.com/goster.aspx?metin_id=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cert.com/goster.aspx?metin_id=800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kascert.com/goster.aspx?metin_id=101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2018-05-28T20:00:00Z</dcterms:created>
  <dcterms:modified xsi:type="dcterms:W3CDTF">2018-05-28T21:13:00Z</dcterms:modified>
</cp:coreProperties>
</file>